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80" w:lineRule="auto"/>
        <w:ind w:left="0" w:leftChars="0" w:right="0" w:rightChars="0" w:firstLine="0" w:firstLineChars="0"/>
        <w:jc w:val="both"/>
        <w:textAlignment w:val="auto"/>
        <w:rPr>
          <w:rFonts w:hint="eastAsia" w:ascii="黑体" w:hAnsi="黑体" w:eastAsia="黑体" w:cs="黑体"/>
          <w:sz w:val="48"/>
          <w:szCs w:val="48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-8603615</wp:posOffset>
            </wp:positionV>
            <wp:extent cx="1762760" cy="579755"/>
            <wp:effectExtent l="0" t="0" r="8890" b="10795"/>
            <wp:wrapNone/>
            <wp:docPr id="2" name="图片 2" descr="5. 彩色logo加字V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. 彩色logo加字V1.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-7319645</wp:posOffset>
                </wp:positionV>
                <wp:extent cx="3877945" cy="142176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945" cy="1421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-简" w:hAnsi="黑体-简" w:eastAsia="黑体-简" w:cs="黑体-简"/>
                                <w:b w:val="0"/>
                                <w:bCs w:val="0"/>
                                <w:color w:val="262626" w:themeColor="text1" w:themeTint="D9"/>
                                <w:sz w:val="192"/>
                                <w:szCs w:val="192"/>
                                <w14:textOutline w14:w="50800" w14:cmpd="sng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  <w14:alpha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-简" w:hAnsi="黑体-简" w:eastAsia="黑体-简" w:cs="黑体-简"/>
                                <w:b w:val="0"/>
                                <w:bCs w:val="0"/>
                                <w:color w:val="262626" w:themeColor="text1" w:themeTint="D9"/>
                                <w:sz w:val="192"/>
                                <w:szCs w:val="192"/>
                                <w14:textOutline w14:w="50800" w14:cmpd="sng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  <w14:alpha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05pt;margin-top:-576.35pt;height:111.95pt;width:305.35pt;z-index:251663360;mso-width-relative:page;mso-height-relative:page;" filled="f" stroked="f" coordsize="21600,21600" o:gfxdata="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70llYt0AAAAOAQAADwAAAAAAAAABACAAAAAi&#10;AAAAZHJzL2Rvd25yZXYueG1sUEsBAhQAFAAAAAgAh07iQOvsWGg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-简" w:hAnsi="黑体-简" w:eastAsia="黑体-简" w:cs="黑体-简"/>
                          <w:b w:val="0"/>
                          <w:bCs w:val="0"/>
                          <w:color w:val="262626" w:themeColor="text1" w:themeTint="D9"/>
                          <w:sz w:val="192"/>
                          <w:szCs w:val="192"/>
                          <w14:textOutline w14:w="50800" w14:cmpd="sng">
                            <w14:solidFill>
                              <w14:schemeClr w14:val="tx1">
                                <w14:lumMod w14:val="85000"/>
                                <w14:lumOff w14:val="15000"/>
                                <w14:alpha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-简" w:hAnsi="黑体-简" w:eastAsia="黑体-简" w:cs="黑体-简"/>
                          <w:b w:val="0"/>
                          <w:bCs w:val="0"/>
                          <w:color w:val="262626" w:themeColor="text1" w:themeTint="D9"/>
                          <w:sz w:val="192"/>
                          <w:szCs w:val="192"/>
                          <w14:textOutline w14:w="50800" w14:cmpd="sng">
                            <w14:solidFill>
                              <w14:schemeClr w14:val="tx1">
                                <w14:lumMod w14:val="85000"/>
                                <w14:lumOff w14:val="15000"/>
                                <w14:alpha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-5977255</wp:posOffset>
                </wp:positionV>
                <wp:extent cx="4453255" cy="55880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255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-简" w:hAnsi="黑体-简" w:eastAsia="黑体-简" w:cs="黑体-简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-简" w:hAnsi="黑体-简" w:eastAsia="黑体-简" w:cs="黑体-简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浙</w:t>
                            </w:r>
                            <w:r>
                              <w:rPr>
                                <w:rFonts w:hint="default" w:ascii="黑体-简" w:hAnsi="黑体-简" w:eastAsia="黑体-简" w:cs="黑体-简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/  </w:t>
                            </w:r>
                            <w:r>
                              <w:rPr>
                                <w:rFonts w:hint="eastAsia" w:ascii="黑体-简" w:hAnsi="黑体-简" w:eastAsia="黑体-简" w:cs="黑体-简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江</w:t>
                            </w:r>
                            <w:r>
                              <w:rPr>
                                <w:rFonts w:hint="default" w:ascii="黑体-简" w:hAnsi="黑体-简" w:eastAsia="黑体-简" w:cs="黑体-简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/</w:t>
                            </w:r>
                            <w:r>
                              <w:rPr>
                                <w:rFonts w:hint="eastAsia" w:ascii="黑体-简" w:hAnsi="黑体-简" w:eastAsia="黑体-简" w:cs="黑体-简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省</w:t>
                            </w:r>
                            <w:r>
                              <w:rPr>
                                <w:rFonts w:hint="eastAsia" w:ascii="黑体-简" w:hAnsi="黑体-简" w:eastAsia="黑体-简" w:cs="黑体-简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/</w:t>
                            </w:r>
                            <w:r>
                              <w:rPr>
                                <w:rFonts w:hint="default" w:ascii="黑体-简" w:hAnsi="黑体-简" w:eastAsia="黑体-简" w:cs="黑体-简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黑体-简" w:hAnsi="黑体-简" w:eastAsia="黑体-简" w:cs="黑体-简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律</w:t>
                            </w:r>
                            <w:r>
                              <w:rPr>
                                <w:rFonts w:hint="default" w:ascii="黑体-简" w:hAnsi="黑体-简" w:eastAsia="黑体-简" w:cs="黑体-简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/  </w:t>
                            </w:r>
                            <w:r>
                              <w:rPr>
                                <w:rFonts w:hint="eastAsia" w:ascii="黑体-简" w:hAnsi="黑体-简" w:eastAsia="黑体-简" w:cs="黑体-简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师</w:t>
                            </w:r>
                            <w:r>
                              <w:rPr>
                                <w:rFonts w:hint="default" w:ascii="黑体-简" w:hAnsi="黑体-简" w:eastAsia="黑体-简" w:cs="黑体-简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/  </w:t>
                            </w:r>
                            <w:r>
                              <w:rPr>
                                <w:rFonts w:hint="eastAsia" w:ascii="黑体-简" w:hAnsi="黑体-简" w:eastAsia="黑体-简" w:cs="黑体-简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协</w:t>
                            </w:r>
                            <w:r>
                              <w:rPr>
                                <w:rFonts w:hint="default" w:ascii="黑体-简" w:hAnsi="黑体-简" w:eastAsia="黑体-简" w:cs="黑体-简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/</w:t>
                            </w:r>
                            <w:r>
                              <w:rPr>
                                <w:rFonts w:hint="eastAsia" w:ascii="黑体-简" w:hAnsi="黑体-简" w:eastAsia="黑体-简" w:cs="黑体-简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会</w:t>
                            </w:r>
                            <w:r>
                              <w:rPr>
                                <w:rFonts w:hint="default" w:ascii="黑体-简" w:hAnsi="黑体-简" w:eastAsia="黑体-简" w:cs="黑体-简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黑体-简" w:hAnsi="黑体-简" w:eastAsia="黑体-简" w:cs="黑体-简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05pt;margin-top:-470.65pt;height:44pt;width:350.65pt;z-index:251669504;mso-width-relative:page;mso-height-relative:page;" filled="f" stroked="f" coordsize="21600,21600" o:gfxdata="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QKzIG90AAAANAQAADwAAAAAAAAABACAAAAAi&#10;AAAAZHJzL2Rvd25yZXYueG1sUEsBAhQAFAAAAAgAh07iQCibq+0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-简" w:hAnsi="黑体-简" w:eastAsia="黑体-简" w:cs="黑体-简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-简" w:hAnsi="黑体-简" w:eastAsia="黑体-简" w:cs="黑体-简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浙</w:t>
                      </w:r>
                      <w:r>
                        <w:rPr>
                          <w:rFonts w:hint="default" w:ascii="黑体-简" w:hAnsi="黑体-简" w:eastAsia="黑体-简" w:cs="黑体-简"/>
                          <w:b/>
                          <w:bCs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/  </w:t>
                      </w:r>
                      <w:r>
                        <w:rPr>
                          <w:rFonts w:hint="eastAsia" w:ascii="黑体-简" w:hAnsi="黑体-简" w:eastAsia="黑体-简" w:cs="黑体-简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江</w:t>
                      </w:r>
                      <w:r>
                        <w:rPr>
                          <w:rFonts w:hint="default" w:ascii="黑体-简" w:hAnsi="黑体-简" w:eastAsia="黑体-简" w:cs="黑体-简"/>
                          <w:b/>
                          <w:bCs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/</w:t>
                      </w:r>
                      <w:r>
                        <w:rPr>
                          <w:rFonts w:hint="eastAsia" w:ascii="黑体-简" w:hAnsi="黑体-简" w:eastAsia="黑体-简" w:cs="黑体-简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省</w:t>
                      </w:r>
                      <w:r>
                        <w:rPr>
                          <w:rFonts w:hint="eastAsia" w:ascii="黑体-简" w:hAnsi="黑体-简" w:eastAsia="黑体-简" w:cs="黑体-简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/</w:t>
                      </w:r>
                      <w:r>
                        <w:rPr>
                          <w:rFonts w:hint="default" w:ascii="黑体-简" w:hAnsi="黑体-简" w:eastAsia="黑体-简" w:cs="黑体-简"/>
                          <w:b/>
                          <w:bCs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黑体-简" w:hAnsi="黑体-简" w:eastAsia="黑体-简" w:cs="黑体-简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律</w:t>
                      </w:r>
                      <w:r>
                        <w:rPr>
                          <w:rFonts w:hint="default" w:ascii="黑体-简" w:hAnsi="黑体-简" w:eastAsia="黑体-简" w:cs="黑体-简"/>
                          <w:b/>
                          <w:bCs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/  </w:t>
                      </w:r>
                      <w:r>
                        <w:rPr>
                          <w:rFonts w:hint="eastAsia" w:ascii="黑体-简" w:hAnsi="黑体-简" w:eastAsia="黑体-简" w:cs="黑体-简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师</w:t>
                      </w:r>
                      <w:r>
                        <w:rPr>
                          <w:rFonts w:hint="default" w:ascii="黑体-简" w:hAnsi="黑体-简" w:eastAsia="黑体-简" w:cs="黑体-简"/>
                          <w:b/>
                          <w:bCs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/  </w:t>
                      </w:r>
                      <w:r>
                        <w:rPr>
                          <w:rFonts w:hint="eastAsia" w:ascii="黑体-简" w:hAnsi="黑体-简" w:eastAsia="黑体-简" w:cs="黑体-简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协</w:t>
                      </w:r>
                      <w:r>
                        <w:rPr>
                          <w:rFonts w:hint="default" w:ascii="黑体-简" w:hAnsi="黑体-简" w:eastAsia="黑体-简" w:cs="黑体-简"/>
                          <w:b/>
                          <w:bCs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/</w:t>
                      </w:r>
                      <w:r>
                        <w:rPr>
                          <w:rFonts w:hint="eastAsia" w:ascii="黑体-简" w:hAnsi="黑体-简" w:eastAsia="黑体-简" w:cs="黑体-简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会</w:t>
                      </w:r>
                      <w:r>
                        <w:rPr>
                          <w:rFonts w:hint="default" w:ascii="黑体-简" w:hAnsi="黑体-简" w:eastAsia="黑体-简" w:cs="黑体-简"/>
                          <w:b/>
                          <w:bCs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黑体-简" w:hAnsi="黑体-简" w:eastAsia="黑体-简" w:cs="黑体-简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-5336540</wp:posOffset>
                </wp:positionV>
                <wp:extent cx="5688965" cy="87947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965" cy="879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-简" w:hAnsi="黑体-简" w:eastAsia="黑体-简" w:cs="黑体-简"/>
                                <w:b w:val="0"/>
                                <w:bCs w:val="0"/>
                                <w:color w:val="000000" w:themeColor="text1"/>
                                <w:sz w:val="96"/>
                                <w:szCs w:val="96"/>
                                <w:lang w:eastAsia="zh-CN"/>
                                <w14:textOutline w14:w="12700" w14:cmpd="sng">
                                  <w14:solidFill>
                                    <w14:schemeClr w14:val="tx1">
                                      <w14:alpha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-简" w:hAnsi="黑体-简" w:eastAsia="黑体-简" w:cs="黑体-简"/>
                                <w:b w:val="0"/>
                                <w:bCs w:val="0"/>
                                <w:color w:val="000000" w:themeColor="text1"/>
                                <w:sz w:val="96"/>
                                <w:szCs w:val="96"/>
                                <w:lang w:eastAsia="zh-CN"/>
                                <w14:textOutline w14:w="12700" w14:cmpd="sng">
                                  <w14:solidFill>
                                    <w14:schemeClr w14:val="tx1">
                                      <w14:alpha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公益法律服务平台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05pt;margin-top:-420.2pt;height:69.25pt;width:447.95pt;z-index:251678720;mso-width-relative:page;mso-height-relative:page;" filled="f" stroked="f" coordsize="21600,21600" o:gfxdata="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JCIBw3QAAAA0BAAAPAAAAAAAAAAEAIAAAACIA&#10;AABkcnMvZG93bnJldi54bWxQSwECFAAUAAAACACHTuJAfYwFvT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-简" w:hAnsi="黑体-简" w:eastAsia="黑体-简" w:cs="黑体-简"/>
                          <w:b w:val="0"/>
                          <w:bCs w:val="0"/>
                          <w:color w:val="000000" w:themeColor="text1"/>
                          <w:sz w:val="96"/>
                          <w:szCs w:val="96"/>
                          <w:lang w:eastAsia="zh-CN"/>
                          <w14:textOutline w14:w="12700" w14:cmpd="sng">
                            <w14:solidFill>
                              <w14:schemeClr w14:val="tx1">
                                <w14:alpha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-简" w:hAnsi="黑体-简" w:eastAsia="黑体-简" w:cs="黑体-简"/>
                          <w:b w:val="0"/>
                          <w:bCs w:val="0"/>
                          <w:color w:val="000000" w:themeColor="text1"/>
                          <w:sz w:val="96"/>
                          <w:szCs w:val="96"/>
                          <w:lang w:eastAsia="zh-CN"/>
                          <w14:textOutline w14:w="12700" w14:cmpd="sng">
                            <w14:solidFill>
                              <w14:schemeClr w14:val="tx1">
                                <w14:alpha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公益法律服务平台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9688830</wp:posOffset>
                </wp:positionV>
                <wp:extent cx="5688965" cy="50736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96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-简" w:hAnsi="黑体-简" w:eastAsia="黑体-简" w:cs="黑体-简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-简" w:hAnsi="黑体-简" w:eastAsia="黑体-简" w:cs="黑体-简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上海同道信息技术有限公司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3pt;margin-top:762.9pt;height:39.95pt;width:447.95pt;mso-position-horizontal-relative:page;mso-position-vertical-relative:page;z-index:251697152;mso-width-relative:page;mso-height-relative:page;" filled="f" stroked="f" coordsize="21600,21600" o:gfxdata="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eYqsXcAAAADgEAAA8AAAAAAAAAAQAgAAAAIgAA&#10;AGRycy9kb3ducmV2LnhtbFBLAQIUABQAAAAIAIdO4kCoM4tK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-简" w:hAnsi="黑体-简" w:eastAsia="黑体-简" w:cs="黑体-简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-简" w:hAnsi="黑体-简" w:eastAsia="黑体-简" w:cs="黑体-简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上海同道信息技术有限公司</w:t>
                      </w:r>
                    </w:p>
                  </w:txbxContent>
                </v:textbox>
              </v:shape>
            </w:pict>
          </mc:Fallback>
        </mc:AlternateContent>
      </w:r>
      <w:bookmarkStart w:id="13" w:name="_GoBack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0</wp:posOffset>
            </wp:positionV>
            <wp:extent cx="7575550" cy="10782935"/>
            <wp:effectExtent l="0" t="0" r="19050" b="12065"/>
            <wp:wrapSquare wrapText="bothSides"/>
            <wp:docPr id="1" name="图片 1" descr="背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背景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78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3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80" w:lineRule="auto"/>
        <w:ind w:left="0" w:leftChars="0" w:right="0" w:rightChars="0" w:firstLine="0" w:firstLineChars="0"/>
        <w:jc w:val="center"/>
        <w:textAlignment w:val="auto"/>
        <w:rPr>
          <w:rFonts w:hint="eastAsia" w:ascii="黑体" w:hAnsi="黑体" w:eastAsia="黑体" w:cs="黑体"/>
          <w:sz w:val="48"/>
          <w:szCs w:val="48"/>
          <w:lang w:eastAsia="zh-CN"/>
        </w:rPr>
      </w:pPr>
      <w:r>
        <w:rPr>
          <w:rFonts w:hint="eastAsia" w:ascii="黑体" w:hAnsi="黑体" w:eastAsia="黑体" w:cs="黑体"/>
          <w:sz w:val="48"/>
          <w:szCs w:val="48"/>
          <w:lang w:eastAsia="zh-CN"/>
        </w:rPr>
        <w:t>浙江省公益法律服务平台操作手册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80" w:lineRule="auto"/>
        <w:ind w:left="0" w:leftChars="0" w:right="0" w:rightChars="0" w:firstLine="0" w:firstLineChars="0"/>
        <w:jc w:val="center"/>
        <w:textAlignment w:val="auto"/>
        <w:rPr>
          <w:rFonts w:hint="eastAsia" w:ascii="黑体" w:hAnsi="黑体" w:eastAsia="黑体" w:cs="黑体"/>
          <w:sz w:val="48"/>
          <w:szCs w:val="48"/>
          <w:lang w:eastAsia="zh-CN"/>
        </w:rPr>
      </w:pPr>
      <w:r>
        <w:rPr>
          <w:rFonts w:hint="eastAsia" w:ascii="黑体" w:hAnsi="黑体" w:eastAsia="黑体" w:cs="黑体"/>
          <w:sz w:val="48"/>
          <w:szCs w:val="48"/>
          <w:lang w:eastAsia="zh-CN"/>
        </w:rPr>
        <w:t>（律师</w:t>
      </w: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>/</w:t>
      </w:r>
      <w:r>
        <w:rPr>
          <w:rFonts w:hint="eastAsia" w:ascii="黑体" w:hAnsi="黑体" w:eastAsia="黑体" w:cs="黑体"/>
          <w:sz w:val="48"/>
          <w:szCs w:val="48"/>
          <w:lang w:eastAsia="zh-CN"/>
        </w:rPr>
        <w:t>律师事务所）</w:t>
      </w:r>
      <w:r>
        <w:rPr>
          <w:rFonts w:hint="eastAsia" w:ascii="黑体" w:hAnsi="黑体" w:eastAsia="黑体" w:cs="黑体"/>
          <w:sz w:val="48"/>
          <w:szCs w:val="48"/>
          <w:lang w:eastAsia="zh-CN"/>
        </w:rPr>
        <w:br w:type="textWrapping"/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1262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_Toc10955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Cs w:val="32"/>
              <w:lang w:eastAsia="zh-CN"/>
            </w:rPr>
            <w:t xml:space="preserve">一、 </w:t>
          </w:r>
          <w:r>
            <w:rPr>
              <w:rFonts w:hint="eastAsia" w:asciiTheme="minorEastAsia" w:hAnsiTheme="minorEastAsia" w:cstheme="minorEastAsia"/>
              <w:bCs/>
              <w:szCs w:val="32"/>
              <w:lang w:eastAsia="zh-CN"/>
            </w:rPr>
            <w:t>公益法律服务填报模块</w:t>
          </w:r>
          <w:r>
            <w:rPr>
              <w:rFonts w:hint="eastAsia" w:asciiTheme="minorEastAsia" w:hAnsiTheme="minorEastAsia" w:eastAsiaTheme="minorEastAsia" w:cstheme="minorEastAsia"/>
              <w:bCs/>
              <w:szCs w:val="32"/>
              <w:lang w:eastAsia="zh-CN"/>
            </w:rPr>
            <w:t>介绍</w:t>
          </w:r>
          <w:r>
            <w:tab/>
          </w:r>
          <w:r>
            <w:fldChar w:fldCharType="begin"/>
          </w:r>
          <w:r>
            <w:instrText xml:space="preserve"> PAGEREF _Toc10955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_Toc30055 </w:instrText>
          </w:r>
          <w:r>
            <w:fldChar w:fldCharType="separate"/>
          </w:r>
          <w:r>
            <w:rPr>
              <w:rFonts w:hint="eastAsia" w:asciiTheme="minorEastAsia" w:hAnsiTheme="minorEastAsia" w:cstheme="minorEastAsia"/>
              <w:bCs/>
              <w:szCs w:val="32"/>
              <w:lang w:val="en-US" w:eastAsia="zh-CN"/>
            </w:rPr>
            <w:t>1.1、模块</w:t>
          </w:r>
          <w:r>
            <w:rPr>
              <w:rFonts w:hint="eastAsia" w:asciiTheme="minorEastAsia" w:hAnsiTheme="minorEastAsia" w:eastAsiaTheme="minorEastAsia" w:cstheme="minorEastAsia"/>
              <w:bCs/>
              <w:szCs w:val="32"/>
              <w:lang w:val="en-US" w:eastAsia="zh-CN"/>
            </w:rPr>
            <w:t>简介</w:t>
          </w:r>
          <w:r>
            <w:tab/>
          </w:r>
          <w:r>
            <w:fldChar w:fldCharType="begin"/>
          </w:r>
          <w:r>
            <w:instrText xml:space="preserve"> PAGEREF _Toc30055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_Toc27313 </w:instrText>
          </w:r>
          <w:r>
            <w:fldChar w:fldCharType="separate"/>
          </w:r>
          <w:r>
            <w:rPr>
              <w:rFonts w:hint="eastAsia" w:asciiTheme="minorEastAsia" w:hAnsiTheme="minorEastAsia" w:cstheme="minorEastAsia"/>
              <w:bCs/>
              <w:szCs w:val="32"/>
              <w:lang w:val="en-US" w:eastAsia="zh-CN"/>
            </w:rPr>
            <w:t>1.2、解决的核心问题</w:t>
          </w:r>
          <w:r>
            <w:tab/>
          </w:r>
          <w:r>
            <w:fldChar w:fldCharType="begin"/>
          </w:r>
          <w:r>
            <w:instrText xml:space="preserve"> PAGEREF _Toc27313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_Toc230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Cs w:val="32"/>
              <w:lang w:eastAsia="zh-CN"/>
            </w:rPr>
            <w:t>二、 登录</w:t>
          </w:r>
          <w:r>
            <w:tab/>
          </w:r>
          <w:r>
            <w:fldChar w:fldCharType="begin"/>
          </w:r>
          <w:r>
            <w:instrText xml:space="preserve"> PAGEREF _Toc230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_Toc15289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Cs w:val="32"/>
              <w:lang w:eastAsia="zh-CN"/>
            </w:rPr>
            <w:t xml:space="preserve">三、 </w:t>
          </w:r>
          <w:r>
            <w:rPr>
              <w:rFonts w:hint="eastAsia" w:asciiTheme="minorEastAsia" w:hAnsiTheme="minorEastAsia" w:cstheme="minorEastAsia"/>
              <w:bCs/>
              <w:szCs w:val="32"/>
              <w:lang w:eastAsia="zh-CN"/>
            </w:rPr>
            <w:t>公益法律服务情况律师填报</w:t>
          </w:r>
          <w:r>
            <w:tab/>
          </w:r>
          <w:r>
            <w:fldChar w:fldCharType="begin"/>
          </w:r>
          <w:r>
            <w:instrText xml:space="preserve"> PAGEREF _Toc15289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_Toc13269 </w:instrText>
          </w:r>
          <w:r>
            <w:fldChar w:fldCharType="separate"/>
          </w:r>
          <w:r>
            <w:rPr>
              <w:rFonts w:hint="eastAsia" w:asciiTheme="minorEastAsia" w:hAnsiTheme="minorEastAsia" w:cstheme="minorEastAsia"/>
              <w:bCs/>
              <w:szCs w:val="32"/>
              <w:lang w:val="en-US" w:eastAsia="zh-CN"/>
            </w:rPr>
            <w:t>3</w:t>
          </w:r>
          <w:r>
            <w:rPr>
              <w:rFonts w:hint="eastAsia" w:asciiTheme="minorEastAsia" w:hAnsiTheme="minorEastAsia" w:eastAsiaTheme="minorEastAsia" w:cstheme="minorEastAsia"/>
              <w:bCs/>
              <w:szCs w:val="32"/>
              <w:lang w:val="en-US" w:eastAsia="zh-CN"/>
            </w:rPr>
            <w:t>.1、</w:t>
          </w:r>
          <w:r>
            <w:rPr>
              <w:rFonts w:hint="eastAsia" w:asciiTheme="minorEastAsia" w:hAnsiTheme="minorEastAsia" w:cstheme="minorEastAsia"/>
              <w:bCs/>
              <w:szCs w:val="32"/>
              <w:lang w:val="en-US" w:eastAsia="zh-CN"/>
            </w:rPr>
            <w:t>新增（单条数据新增）</w:t>
          </w:r>
          <w:r>
            <w:tab/>
          </w:r>
          <w:r>
            <w:fldChar w:fldCharType="begin"/>
          </w:r>
          <w:r>
            <w:instrText xml:space="preserve"> PAGEREF _Toc13269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_Toc12017 </w:instrText>
          </w:r>
          <w:r>
            <w:fldChar w:fldCharType="separate"/>
          </w:r>
          <w:r>
            <w:rPr>
              <w:rFonts w:hint="eastAsia" w:asciiTheme="minorEastAsia" w:hAnsiTheme="minorEastAsia" w:cstheme="minorEastAsia"/>
              <w:bCs/>
              <w:szCs w:val="32"/>
              <w:lang w:val="en-US" w:eastAsia="zh-CN"/>
            </w:rPr>
            <w:t>3</w:t>
          </w:r>
          <w:r>
            <w:rPr>
              <w:rFonts w:hint="eastAsia" w:asciiTheme="minorEastAsia" w:hAnsiTheme="minorEastAsia" w:eastAsiaTheme="minorEastAsia" w:cstheme="minorEastAsia"/>
              <w:bCs/>
              <w:szCs w:val="32"/>
              <w:lang w:val="en-US" w:eastAsia="zh-CN"/>
            </w:rPr>
            <w:t>.</w:t>
          </w:r>
          <w:r>
            <w:rPr>
              <w:rFonts w:hint="eastAsia" w:asciiTheme="minorEastAsia" w:hAnsiTheme="minorEastAsia" w:cstheme="minorEastAsia"/>
              <w:bCs/>
              <w:szCs w:val="32"/>
              <w:lang w:val="en-US" w:eastAsia="zh-CN"/>
            </w:rPr>
            <w:t>2</w:t>
          </w:r>
          <w:r>
            <w:rPr>
              <w:rFonts w:hint="eastAsia" w:asciiTheme="minorEastAsia" w:hAnsiTheme="minorEastAsia" w:eastAsiaTheme="minorEastAsia" w:cstheme="minorEastAsia"/>
              <w:bCs/>
              <w:szCs w:val="32"/>
              <w:lang w:val="en-US" w:eastAsia="zh-CN"/>
            </w:rPr>
            <w:t>、</w:t>
          </w:r>
          <w:r>
            <w:rPr>
              <w:rFonts w:hint="eastAsia" w:asciiTheme="minorEastAsia" w:hAnsiTheme="minorEastAsia" w:cstheme="minorEastAsia"/>
              <w:bCs/>
              <w:szCs w:val="32"/>
              <w:lang w:val="en-US" w:eastAsia="zh-CN"/>
            </w:rPr>
            <w:t>批量导入</w:t>
          </w:r>
          <w:r>
            <w:tab/>
          </w:r>
          <w:r>
            <w:fldChar w:fldCharType="begin"/>
          </w:r>
          <w:r>
            <w:instrText xml:space="preserve"> PAGEREF _Toc12017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_Toc15297 </w:instrText>
          </w:r>
          <w:r>
            <w:fldChar w:fldCharType="separate"/>
          </w:r>
          <w:r>
            <w:rPr>
              <w:rFonts w:hint="eastAsia" w:asciiTheme="minorEastAsia" w:hAnsiTheme="minorEastAsia" w:cstheme="minorEastAsia"/>
              <w:bCs/>
              <w:szCs w:val="32"/>
              <w:lang w:val="en-US" w:eastAsia="zh-CN"/>
            </w:rPr>
            <w:t>3</w:t>
          </w:r>
          <w:r>
            <w:rPr>
              <w:rFonts w:hint="eastAsia" w:asciiTheme="minorEastAsia" w:hAnsiTheme="minorEastAsia" w:eastAsiaTheme="minorEastAsia" w:cstheme="minorEastAsia"/>
              <w:bCs/>
              <w:szCs w:val="32"/>
              <w:lang w:val="en-US" w:eastAsia="zh-CN"/>
            </w:rPr>
            <w:t>.</w:t>
          </w:r>
          <w:r>
            <w:rPr>
              <w:rFonts w:hint="eastAsia" w:asciiTheme="minorEastAsia" w:hAnsiTheme="minorEastAsia" w:cstheme="minorEastAsia"/>
              <w:bCs/>
              <w:szCs w:val="32"/>
              <w:lang w:val="en-US" w:eastAsia="zh-CN"/>
            </w:rPr>
            <w:t>3</w:t>
          </w:r>
          <w:r>
            <w:rPr>
              <w:rFonts w:hint="eastAsia" w:asciiTheme="minorEastAsia" w:hAnsiTheme="minorEastAsia" w:eastAsiaTheme="minorEastAsia" w:cstheme="minorEastAsia"/>
              <w:bCs/>
              <w:szCs w:val="32"/>
              <w:lang w:val="en-US" w:eastAsia="zh-CN"/>
            </w:rPr>
            <w:t>、</w:t>
          </w:r>
          <w:r>
            <w:rPr>
              <w:rFonts w:hint="eastAsia" w:asciiTheme="minorEastAsia" w:hAnsiTheme="minorEastAsia" w:cstheme="minorEastAsia"/>
              <w:bCs/>
              <w:szCs w:val="32"/>
              <w:lang w:val="en-US" w:eastAsia="zh-CN"/>
            </w:rPr>
            <w:t>打印年度汇总表</w:t>
          </w:r>
          <w:r>
            <w:tab/>
          </w:r>
          <w:r>
            <w:fldChar w:fldCharType="begin"/>
          </w:r>
          <w:r>
            <w:instrText xml:space="preserve"> PAGEREF _Toc15297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_Toc24988 </w:instrText>
          </w:r>
          <w:r>
            <w:fldChar w:fldCharType="separate"/>
          </w:r>
          <w:r>
            <w:rPr>
              <w:rFonts w:hint="eastAsia" w:asciiTheme="minorEastAsia" w:hAnsiTheme="minorEastAsia" w:cstheme="minorEastAsia"/>
              <w:bCs/>
              <w:szCs w:val="32"/>
              <w:lang w:eastAsia="zh-CN"/>
            </w:rPr>
            <w:t>四、 公益法律服务情况律师事务所上报</w:t>
          </w:r>
          <w:r>
            <w:tab/>
          </w:r>
          <w:r>
            <w:fldChar w:fldCharType="begin"/>
          </w:r>
          <w:r>
            <w:instrText xml:space="preserve"> PAGEREF _Toc24988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_Toc30492 </w:instrText>
          </w:r>
          <w:r>
            <w:fldChar w:fldCharType="separate"/>
          </w:r>
          <w:r>
            <w:rPr>
              <w:rFonts w:hint="eastAsia" w:asciiTheme="minorEastAsia" w:hAnsiTheme="minorEastAsia" w:cstheme="minorEastAsia"/>
              <w:bCs/>
              <w:szCs w:val="32"/>
              <w:lang w:val="en-US" w:eastAsia="zh-CN"/>
            </w:rPr>
            <w:t>4.1、</w:t>
          </w:r>
          <w:r>
            <w:rPr>
              <w:rFonts w:hint="eastAsia" w:asciiTheme="minorEastAsia" w:hAnsiTheme="minorEastAsia" w:cstheme="minorEastAsia"/>
              <w:bCs/>
              <w:szCs w:val="32"/>
              <w:lang w:eastAsia="zh-CN"/>
            </w:rPr>
            <w:t>公益法律服务情况数据同步</w:t>
          </w:r>
          <w:r>
            <w:tab/>
          </w:r>
          <w:r>
            <w:fldChar w:fldCharType="begin"/>
          </w:r>
          <w:r>
            <w:instrText xml:space="preserve"> PAGEREF _Toc30492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_Toc7576 </w:instrText>
          </w:r>
          <w:r>
            <w:fldChar w:fldCharType="separate"/>
          </w:r>
          <w:r>
            <w:rPr>
              <w:rFonts w:hint="eastAsia" w:asciiTheme="minorEastAsia" w:hAnsiTheme="minorEastAsia" w:cstheme="minorEastAsia"/>
              <w:bCs/>
              <w:szCs w:val="32"/>
              <w:lang w:val="en-US" w:eastAsia="zh-CN"/>
            </w:rPr>
            <w:t>4.2、打印律所年度汇总表</w:t>
          </w:r>
          <w:r>
            <w:tab/>
          </w:r>
          <w:r>
            <w:fldChar w:fldCharType="begin"/>
          </w:r>
          <w:r>
            <w:instrText xml:space="preserve"> PAGEREF _Toc7576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_Toc16543 </w:instrText>
          </w:r>
          <w:r>
            <w:fldChar w:fldCharType="separate"/>
          </w:r>
          <w:r>
            <w:rPr>
              <w:rFonts w:hint="eastAsia" w:asciiTheme="minorEastAsia" w:hAnsiTheme="minorEastAsia" w:cstheme="minorEastAsia"/>
              <w:bCs/>
              <w:szCs w:val="32"/>
              <w:lang w:val="en-US" w:eastAsia="zh-CN"/>
            </w:rPr>
            <w:t>4.3、律所公益法律服务情况上报</w:t>
          </w:r>
          <w:r>
            <w:tab/>
          </w:r>
          <w:r>
            <w:fldChar w:fldCharType="begin"/>
          </w:r>
          <w:r>
            <w:instrText xml:space="preserve"> PAGEREF _Toc16543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_Toc29127 </w:instrText>
          </w:r>
          <w:r>
            <w:fldChar w:fldCharType="separate"/>
          </w:r>
          <w:r>
            <w:rPr>
              <w:rFonts w:hint="eastAsia" w:asciiTheme="minorEastAsia" w:hAnsiTheme="minorEastAsia" w:cstheme="minorEastAsia"/>
              <w:bCs/>
              <w:szCs w:val="32"/>
              <w:lang w:val="en-US" w:eastAsia="zh-CN"/>
            </w:rPr>
            <w:t>4.3、律所公益法律服务情况驳回情况查看</w:t>
          </w:r>
          <w:r>
            <w:tab/>
          </w:r>
          <w:r>
            <w:fldChar w:fldCharType="begin"/>
          </w:r>
          <w:r>
            <w:instrText xml:space="preserve"> PAGEREF _Toc29127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11"/>
        <w:tabs>
          <w:tab w:val="right" w:leader="dot" w:pos="8306"/>
        </w:tabs>
        <w:rPr>
          <w:rFonts w:hint="eastAsia" w:ascii="黑体" w:hAnsi="黑体" w:eastAsia="黑体" w:cs="黑体"/>
          <w:sz w:val="48"/>
          <w:szCs w:val="48"/>
          <w:lang w:eastAsia="zh-CN"/>
        </w:rPr>
      </w:pPr>
      <w:r>
        <w:rPr>
          <w:rFonts w:hint="eastAsia" w:ascii="黑体" w:hAnsi="黑体" w:eastAsia="黑体" w:cs="黑体"/>
          <w:sz w:val="48"/>
          <w:szCs w:val="48"/>
          <w:lang w:eastAsia="zh-CN"/>
        </w:rPr>
        <w:br w:type="textWrapping"/>
      </w:r>
    </w:p>
    <w:p>
      <w:pPr>
        <w:rPr>
          <w:rFonts w:hint="eastAsia" w:ascii="黑体" w:hAnsi="黑体" w:eastAsia="黑体" w:cs="黑体"/>
          <w:sz w:val="48"/>
          <w:szCs w:val="48"/>
          <w:lang w:eastAsia="zh-CN"/>
        </w:rPr>
      </w:pPr>
      <w:r>
        <w:rPr>
          <w:rFonts w:hint="eastAsia" w:ascii="黑体" w:hAnsi="黑体" w:eastAsia="黑体" w:cs="黑体"/>
          <w:sz w:val="48"/>
          <w:szCs w:val="48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</w:pPr>
      <w:bookmarkStart w:id="0" w:name="_Toc10955"/>
      <w:r>
        <w:rPr>
          <w:rFonts w:hint="eastAsia" w:asciiTheme="minorEastAsia" w:hAnsiTheme="minorEastAsia" w:cstheme="minorEastAsia"/>
          <w:b/>
          <w:bCs/>
          <w:sz w:val="32"/>
          <w:szCs w:val="32"/>
          <w:lang w:eastAsia="zh-CN"/>
        </w:rPr>
        <w:t>公益法律服务填报模块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  <w:t>介绍</w:t>
      </w:r>
      <w:bookmarkEnd w:id="0"/>
    </w:p>
    <w:p>
      <w:pPr>
        <w:numPr>
          <w:ilvl w:val="0"/>
          <w:numId w:val="0"/>
        </w:numPr>
        <w:outlineLvl w:val="1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bookmarkStart w:id="1" w:name="_Toc30055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1.1、模块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简介</w:t>
      </w:r>
      <w:bookmarkEnd w:id="1"/>
    </w:p>
    <w:p>
      <w:pPr>
        <w:numPr>
          <w:ilvl w:val="0"/>
          <w:numId w:val="0"/>
        </w:num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公益法律服务情况填报</w:t>
      </w:r>
      <w:r>
        <w:rPr>
          <w:rFonts w:hint="eastAsia"/>
          <w:lang w:eastAsia="zh-CN"/>
        </w:rPr>
        <w:t>平台是专门为律师、律师事务所制定的模块，服务于各个律师、律师事务所，实现</w:t>
      </w:r>
      <w:r>
        <w:rPr>
          <w:rFonts w:hint="eastAsia"/>
          <w:lang w:val="en-US" w:eastAsia="zh-CN"/>
        </w:rPr>
        <w:t>公益法律服务情况的网上填报。</w:t>
      </w:r>
    </w:p>
    <w:p>
      <w:pPr>
        <w:numPr>
          <w:ilvl w:val="0"/>
          <w:numId w:val="0"/>
        </w:numPr>
        <w:ind w:leftChars="0"/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bookmarkStart w:id="2" w:name="_Toc27313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1.2、解决的核心问题</w:t>
      </w:r>
      <w:bookmarkEnd w:id="2"/>
    </w:p>
    <w:p>
      <w:pPr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公益法律服务情况的网上填报</w:t>
      </w:r>
    </w:p>
    <w:p>
      <w:pPr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公益法律服务情况</w:t>
      </w:r>
      <w:r>
        <w:rPr>
          <w:rFonts w:hint="default"/>
          <w:lang w:val="en-US" w:eastAsia="zh-CN"/>
        </w:rPr>
        <w:t>实现网上申报和查验</w:t>
      </w:r>
    </w:p>
    <w:p>
      <w:pPr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律师公益法律服务情况</w:t>
      </w:r>
      <w:r>
        <w:rPr>
          <w:rFonts w:hint="default"/>
          <w:lang w:val="en-US" w:eastAsia="zh-CN"/>
        </w:rPr>
        <w:t>的信息化管理</w:t>
      </w:r>
    </w:p>
    <w:p>
      <w:pPr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多终端共享</w:t>
      </w:r>
      <w:r>
        <w:rPr>
          <w:rFonts w:hint="eastAsia"/>
          <w:lang w:val="en-US" w:eastAsia="zh-CN"/>
        </w:rPr>
        <w:t>公益法律服务情况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</w:pPr>
      <w:bookmarkStart w:id="3" w:name="_Toc230"/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  <w:t>登录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正式环境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登录地址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：</w:t>
      </w:r>
      <w:r>
        <w:rPr>
          <w:rStyle w:val="9"/>
          <w:rFonts w:hint="eastAsia" w:asciiTheme="minorEastAsia" w:hAnsiTheme="minorEastAsia" w:cstheme="minorEastAsia"/>
          <w:sz w:val="24"/>
          <w:szCs w:val="24"/>
          <w:lang w:val="en-US" w:eastAsia="zh-CN"/>
        </w:rPr>
        <w:t>http://mc.zjbar.com/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事务所登录账号:账号：统一社会信用代码（字母大写），初始密码：信用代码后六位（字母小写）</w:t>
      </w:r>
    </w:p>
    <w:p>
      <w:pPr>
        <w:bidi w:val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律师个人登录账号：账号：律师执业证号，初始密码：身份证后六位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输入账号密码后，点击登录。</w:t>
      </w:r>
      <w:r>
        <w:rPr>
          <w:rFonts w:hint="eastAsia" w:ascii="黑体" w:hAnsi="黑体" w:eastAsia="黑体" w:cs="黑体"/>
          <w:sz w:val="44"/>
          <w:szCs w:val="44"/>
          <w:lang w:eastAsia="zh-CN"/>
        </w:rPr>
        <w:br w:type="textWrapping"/>
      </w:r>
      <w:r>
        <w:drawing>
          <wp:inline distT="0" distB="0" distL="114300" distR="114300">
            <wp:extent cx="5257800" cy="2661285"/>
            <wp:effectExtent l="0" t="0" r="0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登录后界面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、选择左下角公益法律服务情况模块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br w:type="textWrapping"/>
      </w:r>
      <w:r>
        <w:drawing>
          <wp:inline distT="0" distB="0" distL="114300" distR="114300">
            <wp:extent cx="5272405" cy="2910840"/>
            <wp:effectExtent l="0" t="0" r="4445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</w:pPr>
      <w:bookmarkStart w:id="4" w:name="_Toc15289"/>
      <w:r>
        <w:rPr>
          <w:rFonts w:hint="eastAsia" w:asciiTheme="minorEastAsia" w:hAnsiTheme="minorEastAsia" w:cstheme="minorEastAsia"/>
          <w:b/>
          <w:bCs/>
          <w:sz w:val="32"/>
          <w:szCs w:val="32"/>
          <w:lang w:eastAsia="zh-CN"/>
        </w:rPr>
        <w:t>公益法律服务情况律师填报</w:t>
      </w:r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bookmarkStart w:id="5" w:name="_Toc13269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.1、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新增（单条数据新增）</w:t>
      </w:r>
      <w:bookmarkEnd w:id="5"/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第一步：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进入公益法律服务情况模块——点击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新增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340" cy="2827655"/>
            <wp:effectExtent l="0" t="0" r="16510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numPr>
          <w:ilvl w:val="0"/>
          <w:numId w:val="0"/>
        </w:numPr>
        <w:jc w:val="both"/>
        <w:rPr>
          <w:rFonts w:hint="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第二步：填写完善公益法律服务情况信息，然后选择创建按钮，即新增成功。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br w:type="textWrapping"/>
      </w:r>
      <w:r>
        <w:drawing>
          <wp:inline distT="0" distB="0" distL="114300" distR="114300">
            <wp:extent cx="5267325" cy="2971800"/>
            <wp:effectExtent l="0" t="0" r="9525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textWrapping"/>
      </w:r>
      <w:r>
        <w:br w:type="textWrapping"/>
      </w:r>
    </w:p>
    <w:p>
      <w:pPr>
        <w:numPr>
          <w:ilvl w:val="0"/>
          <w:numId w:val="0"/>
        </w:numPr>
        <w:jc w:val="both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bookmarkStart w:id="6" w:name="_Toc12017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.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、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批量导入</w:t>
      </w:r>
      <w:bookmarkEnd w:id="6"/>
    </w:p>
    <w:p>
      <w:pPr>
        <w:bidi w:val="0"/>
      </w:pPr>
      <w:r>
        <w:rPr>
          <w:rFonts w:hint="eastAsia"/>
          <w:lang w:eastAsia="zh-CN"/>
        </w:rPr>
        <w:t>因可能存在数据量过大，单条新增困难的情况，系统带有批量导入功能。选择导入按钮，会出现系统弹窗，下载弹窗中的附件上传模板，然后上传附件，即可进行批量上传。</w:t>
      </w:r>
      <w:r>
        <w:rPr>
          <w:rFonts w:hint="eastAsia"/>
          <w:lang w:eastAsia="zh-CN"/>
        </w:rPr>
        <w:br w:type="textWrapping"/>
      </w:r>
      <w:r>
        <w:drawing>
          <wp:inline distT="0" distB="0" distL="114300" distR="114300">
            <wp:extent cx="5273040" cy="3047365"/>
            <wp:effectExtent l="0" t="0" r="3810" b="6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4785" cy="2840355"/>
            <wp:effectExtent l="0" t="0" r="12065" b="1714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bookmarkStart w:id="7" w:name="_Toc15297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.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、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打印年度汇总表</w:t>
      </w:r>
      <w:bookmarkEnd w:id="7"/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打印年度汇总表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选择打印年度汇总表按钮，选择相应年份，可打印对应年度的年度汇总表。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4150" cy="2754630"/>
            <wp:effectExtent l="0" t="0" r="12700" b="762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551430"/>
            <wp:effectExtent l="0" t="0" r="4445" b="127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>
      <w:pPr>
        <w:bidi w:val="0"/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Theme="minorEastAsia" w:hAnsiTheme="minorEastAsia" w:cstheme="minorEastAsia"/>
          <w:b/>
          <w:bCs/>
          <w:sz w:val="32"/>
          <w:szCs w:val="32"/>
          <w:lang w:eastAsia="zh-CN"/>
        </w:rPr>
      </w:pPr>
      <w:bookmarkStart w:id="8" w:name="_Toc24988"/>
      <w:r>
        <w:rPr>
          <w:rFonts w:hint="eastAsia" w:asciiTheme="minorEastAsia" w:hAnsiTheme="minorEastAsia" w:cstheme="minorEastAsia"/>
          <w:b/>
          <w:bCs/>
          <w:sz w:val="32"/>
          <w:szCs w:val="32"/>
          <w:lang w:eastAsia="zh-CN"/>
        </w:rPr>
        <w:t>公益法律服务情况律师事务所上报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bookmarkStart w:id="9" w:name="_Toc30492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4.1、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eastAsia="zh-CN"/>
        </w:rPr>
        <w:t>公益法律服务情况数据同步</w:t>
      </w:r>
      <w:bookmarkEnd w:id="9"/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所内律师填报完公益法律服务情况后，其相关数据会自动同步至律所。如下图所示，在律所的公益法律服务情况菜单中会展示本所所有律师的填报情况</w:t>
      </w:r>
    </w:p>
    <w:p>
      <w:pPr>
        <w:bidi w:val="0"/>
      </w:pPr>
      <w:r>
        <w:drawing>
          <wp:inline distT="0" distB="0" distL="114300" distR="114300">
            <wp:extent cx="5272405" cy="3088005"/>
            <wp:effectExtent l="0" t="0" r="4445" b="1714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bookmarkStart w:id="10" w:name="_Toc7576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4.2、打印律所年度汇总表</w:t>
      </w:r>
      <w:bookmarkEnd w:id="10"/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律所选择打印年度汇总表，选择相应年份，即可打印对应年份的所内律师公益法律服务统计情况汇总表。</w:t>
      </w:r>
    </w:p>
    <w:p>
      <w:pPr>
        <w:bidi w:val="0"/>
      </w:pPr>
      <w:r>
        <w:drawing>
          <wp:inline distT="0" distB="0" distL="114300" distR="114300">
            <wp:extent cx="5267960" cy="2663190"/>
            <wp:effectExtent l="0" t="0" r="8890" b="381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7960" cy="2226945"/>
            <wp:effectExtent l="0" t="0" r="8890" b="190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bookmarkStart w:id="11" w:name="_Toc16543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4.3、律所公益法律服务情况上报</w:t>
      </w:r>
      <w:bookmarkEnd w:id="11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律所确认该年度填报情况完成可以选择上报功能，选择对应年份，将本所相关公益法律服务情况上报至市律协。由市律协审核后上报至省律协。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</w:pPr>
      <w:r>
        <w:drawing>
          <wp:inline distT="0" distB="0" distL="114300" distR="114300">
            <wp:extent cx="5274310" cy="2718435"/>
            <wp:effectExtent l="0" t="0" r="2540" b="571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  <w:rPr>
          <w:rFonts w:hint="eastAsia"/>
          <w:lang w:val="en-US" w:eastAsia="zh-CN"/>
        </w:rPr>
      </w:pPr>
    </w:p>
    <w:p>
      <w:pPr>
        <w:bidi w:val="0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bookmarkStart w:id="12" w:name="_Toc29127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4.3、律所公益法律服务情况驳回情况查看</w:t>
      </w:r>
      <w:bookmarkEnd w:id="12"/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律所可在下图菜单中查看本所内是否有被驳回的内容信息，点击查看驳回意见可查看详细驳回原因。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3240405"/>
            <wp:effectExtent l="0" t="0" r="15240" b="1714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textWrapping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黑体-简">
    <w:altName w:val="黑体"/>
    <w:panose1 w:val="02000000000000000000"/>
    <w:charset w:val="86"/>
    <w:family w:val="auto"/>
    <w:pitch w:val="default"/>
    <w:sig w:usb0="00000000" w:usb1="00000000" w:usb2="00000000" w:usb3="00000000" w:csb0="203E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73CDAA"/>
    <w:multiLevelType w:val="singleLevel"/>
    <w:tmpl w:val="8473CDA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814422B"/>
    <w:multiLevelType w:val="singleLevel"/>
    <w:tmpl w:val="7814422B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A42506"/>
    <w:rsid w:val="02EB63B9"/>
    <w:rsid w:val="052E1728"/>
    <w:rsid w:val="0D5822E2"/>
    <w:rsid w:val="136D3388"/>
    <w:rsid w:val="18F9739A"/>
    <w:rsid w:val="1E2C57EF"/>
    <w:rsid w:val="20947384"/>
    <w:rsid w:val="210F2E40"/>
    <w:rsid w:val="3F73631B"/>
    <w:rsid w:val="427D495C"/>
    <w:rsid w:val="45804D87"/>
    <w:rsid w:val="4C740FB8"/>
    <w:rsid w:val="54C21B45"/>
    <w:rsid w:val="55361466"/>
    <w:rsid w:val="5CC2465B"/>
    <w:rsid w:val="6ECD3AF9"/>
    <w:rsid w:val="705701AE"/>
    <w:rsid w:val="7E76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pc</dc:creator>
  <cp:lastModifiedBy>源守望</cp:lastModifiedBy>
  <cp:lastPrinted>2020-10-23T02:40:00Z</cp:lastPrinted>
  <dcterms:modified xsi:type="dcterms:W3CDTF">2021-01-07T05:46:18Z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